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1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5265"/>
        <w:gridCol w:w="2310"/>
      </w:tblGrid>
      <w:tr w:rsidR="00E026F1" w:rsidTr="004F438F">
        <w:trPr>
          <w:trHeight w:val="1842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  <w:spacing w:line="276" w:lineRule="auto"/>
              <w:jc w:val="center"/>
            </w:pPr>
          </w:p>
          <w:p w:rsidR="00E026F1" w:rsidRDefault="00E026F1" w:rsidP="004F438F">
            <w:pPr>
              <w:pStyle w:val="Bezriadkovania"/>
              <w:spacing w:line="276" w:lineRule="auto"/>
              <w:ind w:left="-8"/>
            </w:pPr>
          </w:p>
          <w:p w:rsidR="00E026F1" w:rsidRDefault="00E026F1" w:rsidP="004F438F">
            <w:pPr>
              <w:pStyle w:val="Bezriadkovania"/>
              <w:spacing w:line="276" w:lineRule="auto"/>
              <w:jc w:val="center"/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2FA151B2" wp14:editId="5AC7F3CD">
                  <wp:extent cx="704850" cy="809625"/>
                  <wp:effectExtent l="0" t="0" r="0" b="9525"/>
                  <wp:docPr id="1" name="Obrázok 1" descr="http://www.obce.info/files/imagecache/ikona-erb/erb/tre_209_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http://www.obce.info/files/imagecache/ikona-erb/erb/tre_209_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026F1" w:rsidRDefault="00E026F1" w:rsidP="004F438F">
            <w:pPr>
              <w:pStyle w:val="Bezriadkovania"/>
              <w:spacing w:line="276" w:lineRule="auto"/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  <w:spacing w:line="276" w:lineRule="auto"/>
              <w:jc w:val="center"/>
            </w:pPr>
          </w:p>
          <w:p w:rsidR="00E026F1" w:rsidRDefault="00E026F1" w:rsidP="004F438F">
            <w:pPr>
              <w:pStyle w:val="Bezriadkovania"/>
              <w:spacing w:line="276" w:lineRule="auto"/>
              <w:jc w:val="center"/>
            </w:pPr>
          </w:p>
          <w:p w:rsidR="00E026F1" w:rsidRDefault="00E026F1" w:rsidP="004F438F">
            <w:pPr>
              <w:pStyle w:val="Bezriadkovania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E026F1" w:rsidRDefault="00E026F1" w:rsidP="004F438F">
            <w:pPr>
              <w:pStyle w:val="Bezriadkovania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OBEC RUDNIANSKA LEHOTA</w:t>
            </w:r>
          </w:p>
          <w:p w:rsidR="00E026F1" w:rsidRDefault="00E026F1" w:rsidP="004F438F">
            <w:pPr>
              <w:pStyle w:val="Bezriadkovania"/>
              <w:spacing w:line="276" w:lineRule="auto"/>
              <w:jc w:val="center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/>
          <w:p w:rsidR="00E026F1" w:rsidRDefault="00E026F1" w:rsidP="004F438F">
            <w:pPr>
              <w:pStyle w:val="Bezriadkovania"/>
              <w:spacing w:line="276" w:lineRule="auto"/>
              <w:jc w:val="center"/>
            </w:pPr>
          </w:p>
          <w:p w:rsidR="00E026F1" w:rsidRDefault="00E026F1" w:rsidP="004F438F">
            <w:pPr>
              <w:pStyle w:val="Bezriadkovania"/>
              <w:spacing w:line="276" w:lineRule="auto"/>
              <w:jc w:val="center"/>
            </w:pPr>
            <w:r>
              <w:rPr>
                <w:b/>
                <w:bCs/>
              </w:rPr>
              <w:t>VZN č. 02/2024</w:t>
            </w:r>
          </w:p>
        </w:tc>
      </w:tr>
    </w:tbl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jc w:val="center"/>
        <w:rPr>
          <w:b/>
          <w:bCs/>
          <w:color w:val="FF0000"/>
        </w:rPr>
      </w:pPr>
    </w:p>
    <w:p w:rsidR="00E026F1" w:rsidRDefault="00E026F1" w:rsidP="00E026F1">
      <w:pPr>
        <w:pStyle w:val="Bezriadkovania"/>
        <w:jc w:val="center"/>
      </w:pPr>
    </w:p>
    <w:p w:rsidR="00E026F1" w:rsidRPr="00E026F1" w:rsidRDefault="00E026F1" w:rsidP="00E026F1">
      <w:pPr>
        <w:pStyle w:val="Bezriadkovania"/>
        <w:jc w:val="center"/>
        <w:rPr>
          <w:b/>
        </w:rPr>
      </w:pPr>
      <w:r w:rsidRPr="00E026F1">
        <w:rPr>
          <w:b/>
        </w:rPr>
        <w:t>Všeobecne záväzné nariadenie obce Rudnianska Lehota č. 02/2024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sk-SK"/>
        </w:rPr>
      </w:pPr>
      <w:r w:rsidRPr="00E026F1">
        <w:rPr>
          <w:rFonts w:ascii="Times New Roman" w:eastAsia="Times New Roman" w:hAnsi="Times New Roman" w:cs="Times New Roman"/>
          <w:b/>
          <w:bCs/>
          <w:lang w:eastAsia="sk-SK"/>
        </w:rPr>
        <w:t>o dani z nehnuteľnosti na kalendárny rok 2025</w:t>
      </w:r>
    </w:p>
    <w:p w:rsidR="00EE2BD7" w:rsidRPr="00E026F1" w:rsidRDefault="00EE2BD7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sk-SK"/>
        </w:rPr>
      </w:pPr>
    </w:p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rPr>
          <w:b/>
          <w:bCs/>
          <w:color w:val="FF0000"/>
        </w:rPr>
      </w:pPr>
      <w:r>
        <w:rPr>
          <w:b/>
          <w:bCs/>
          <w:color w:val="FF0000"/>
        </w:rPr>
        <w:t>Návrh VZN</w:t>
      </w:r>
    </w:p>
    <w:p w:rsidR="00E026F1" w:rsidRDefault="00E026F1" w:rsidP="00E026F1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Default="00E026F1" w:rsidP="004F438F">
            <w:pPr>
              <w:pStyle w:val="Bezriadkovania"/>
            </w:pPr>
            <w:r>
              <w:t>Vyvesený dňa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  <w:jc w:val="center"/>
            </w:pPr>
            <w:r>
              <w:t>19.11.2024</w:t>
            </w:r>
          </w:p>
          <w:p w:rsidR="00E026F1" w:rsidRDefault="00E026F1" w:rsidP="004F438F">
            <w:pPr>
              <w:pStyle w:val="Bezriadkovania"/>
              <w:jc w:val="center"/>
            </w:pPr>
          </w:p>
        </w:tc>
      </w:tr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</w:pPr>
            <w:r>
              <w:t>Zvesený dňa</w:t>
            </w:r>
          </w:p>
          <w:p w:rsidR="00E026F1" w:rsidRDefault="00E026F1" w:rsidP="004F438F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Default="00FB55FD" w:rsidP="004F438F">
            <w:pPr>
              <w:pStyle w:val="Bezriadkovania"/>
              <w:jc w:val="center"/>
            </w:pPr>
            <w:r>
              <w:t>13.12.2024</w:t>
            </w:r>
          </w:p>
        </w:tc>
      </w:tr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Default="00E026F1" w:rsidP="004F438F">
            <w:pPr>
              <w:pStyle w:val="Bezriadkovania"/>
            </w:pPr>
            <w:r>
              <w:t>Zverejnený na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  <w:jc w:val="center"/>
            </w:pPr>
            <w:r>
              <w:t>úradnej tabuli</w:t>
            </w:r>
          </w:p>
          <w:p w:rsidR="00E026F1" w:rsidRDefault="00E026F1" w:rsidP="004F438F">
            <w:pPr>
              <w:pStyle w:val="Bezriadkovania"/>
              <w:jc w:val="center"/>
            </w:pPr>
            <w:r>
              <w:t>webovej stránke obce</w:t>
            </w:r>
          </w:p>
          <w:p w:rsidR="00E026F1" w:rsidRDefault="00E026F1" w:rsidP="004F438F">
            <w:pPr>
              <w:pStyle w:val="Bezriadkovania"/>
              <w:jc w:val="center"/>
            </w:pPr>
            <w:r>
              <w:t>CUET</w:t>
            </w:r>
          </w:p>
          <w:p w:rsidR="00E026F1" w:rsidRDefault="00E026F1" w:rsidP="004F438F">
            <w:pPr>
              <w:pStyle w:val="Bezriadkovania"/>
              <w:jc w:val="center"/>
            </w:pPr>
          </w:p>
        </w:tc>
      </w:tr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</w:pPr>
            <w:r>
              <w:t xml:space="preserve">Pripomienkovanie do </w:t>
            </w:r>
          </w:p>
          <w:p w:rsidR="00E026F1" w:rsidRDefault="00E026F1" w:rsidP="004F438F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Default="00E026F1" w:rsidP="004F438F">
            <w:pPr>
              <w:pStyle w:val="Bezriadkovania"/>
              <w:jc w:val="center"/>
            </w:pPr>
            <w:r>
              <w:t>02.12.2024</w:t>
            </w:r>
          </w:p>
        </w:tc>
      </w:tr>
    </w:tbl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spacing w:line="360" w:lineRule="auto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</w:rPr>
        <w:t>Pripomienky zasielať: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písomne na adresu: Obec Rudnianska Lehota 225, 972 26 Nitrianske Rudno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elektronicky na adresu: podatelna@rudnianskalehota.sk</w:t>
      </w:r>
      <w:r>
        <w:rPr>
          <w:rFonts w:ascii="Times New Roman" w:hAnsi="Times New Roman" w:cs="Times New Roman"/>
        </w:rPr>
        <w:br/>
      </w:r>
    </w:p>
    <w:p w:rsidR="00E026F1" w:rsidRDefault="00E026F1" w:rsidP="00E026F1">
      <w:pPr>
        <w:pStyle w:val="Bezriadkovania"/>
        <w:jc w:val="center"/>
      </w:pPr>
    </w:p>
    <w:p w:rsidR="00E026F1" w:rsidRDefault="00E026F1" w:rsidP="00E026F1">
      <w:pPr>
        <w:pStyle w:val="Bezriadkovania"/>
        <w:rPr>
          <w:b/>
          <w:bCs/>
        </w:rPr>
      </w:pPr>
    </w:p>
    <w:p w:rsidR="00E026F1" w:rsidRDefault="00FB55FD" w:rsidP="00E026F1">
      <w:pPr>
        <w:pStyle w:val="Bezriadkovania"/>
        <w:rPr>
          <w:color w:val="FF0000"/>
        </w:rPr>
      </w:pPr>
      <w:r>
        <w:rPr>
          <w:color w:val="FF0000"/>
        </w:rPr>
        <w:t xml:space="preserve">Schválené </w:t>
      </w:r>
      <w:r w:rsidR="00E026F1">
        <w:rPr>
          <w:color w:val="FF0000"/>
        </w:rPr>
        <w:t>VZN</w:t>
      </w:r>
    </w:p>
    <w:p w:rsidR="00E026F1" w:rsidRDefault="00E026F1" w:rsidP="00E026F1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</w:pPr>
            <w:r>
              <w:t>Schválené dňa</w:t>
            </w:r>
          </w:p>
          <w:p w:rsidR="00E026F1" w:rsidRDefault="00E026F1" w:rsidP="004F438F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Pr="00E026F1" w:rsidRDefault="00E026F1" w:rsidP="00E026F1">
            <w:pPr>
              <w:jc w:val="center"/>
              <w:rPr>
                <w:b/>
              </w:rPr>
            </w:pPr>
            <w:r w:rsidRPr="00E026F1">
              <w:rPr>
                <w:b/>
              </w:rPr>
              <w:t>13.12.2024</w:t>
            </w:r>
          </w:p>
        </w:tc>
      </w:tr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</w:pPr>
            <w:r>
              <w:t>Uznesením číslo</w:t>
            </w:r>
          </w:p>
          <w:p w:rsidR="00E026F1" w:rsidRDefault="00E026F1" w:rsidP="004F438F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Pr="00E026F1" w:rsidRDefault="00E026F1" w:rsidP="00E026F1">
            <w:pPr>
              <w:jc w:val="center"/>
              <w:rPr>
                <w:b/>
              </w:rPr>
            </w:pPr>
            <w:r w:rsidRPr="00E026F1">
              <w:rPr>
                <w:b/>
              </w:rPr>
              <w:t>106/2024</w:t>
            </w:r>
          </w:p>
        </w:tc>
      </w:tr>
      <w:tr w:rsidR="00E026F1" w:rsidTr="004F438F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6F1" w:rsidRDefault="00E026F1" w:rsidP="004F438F">
            <w:pPr>
              <w:pStyle w:val="Bezriadkovania"/>
            </w:pPr>
            <w:r>
              <w:t>Účinnosť od</w:t>
            </w:r>
          </w:p>
          <w:p w:rsidR="00E026F1" w:rsidRDefault="00E026F1" w:rsidP="004F438F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6F1" w:rsidRPr="00E026F1" w:rsidRDefault="00E026F1" w:rsidP="00E026F1">
            <w:pPr>
              <w:jc w:val="center"/>
              <w:rPr>
                <w:b/>
              </w:rPr>
            </w:pPr>
            <w:r w:rsidRPr="00E026F1">
              <w:rPr>
                <w:b/>
              </w:rPr>
              <w:t>01.01.202</w:t>
            </w:r>
            <w:r w:rsidR="00FB55FD">
              <w:rPr>
                <w:b/>
              </w:rPr>
              <w:t>5</w:t>
            </w:r>
          </w:p>
        </w:tc>
      </w:tr>
    </w:tbl>
    <w:p w:rsidR="00E026F1" w:rsidRDefault="00E026F1" w:rsidP="00E026F1">
      <w:pPr>
        <w:pStyle w:val="Bezriadkovania"/>
        <w:rPr>
          <w:b/>
          <w:bCs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bookmarkStart w:id="0" w:name="_GoBack"/>
      <w:bookmarkEnd w:id="0"/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V Š E O B E C N E   Z Á V A Z N É   N A R I A D E N I E   O B C E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Rudnianska Lehota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č. 02/2024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O  D A N I  Z   N E H N U T E Ľ N O S T I  na kalendárny rok 2025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Obec Rudnianska Lehota    v súlade s ustanovením § 6 ods. 2 zákona č. 369/1990 Zb. o obecnom zriadení v znení neskorších predpisov a ustanoveniami    § 7 ods.  5,  6 a 7,  § 8 ods. 2 a 4, § 12 ods.  2 a 3, § 16 ods.  2 a 3, § 17 ods. 2, 3 a 4 , § 17a, § 98,  § 98b ods. 5, § 99e ods. 9 a § 103 ods. 5  zákona č. 582/2004 Z. z. o miestnych daniach a miestnom poplatku za komunálne odpady a drobné stavebné odpady  v znení neskorších predpisov u s t a n o v u j e  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>§ 1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Základné  ustanovenie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Obecné zastupiteľstvo v Rudnianskej Lehote podľa § 11 ods. 4 písm. d) zákona č. 369/1990 Zb. o obecnom zriadení v znení neskorších predpisov  r o z h o d l o, že v nadväznosti na § 98 zákona č. 582/2004 Z. z. o miestnych daniach a miestnom poplatku za komunálne odpady a drobné stavebné odpady v znení neskorších predpisov 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z a v á d z a  s účinnosťou od 1. januára 2025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                                          d a ň  z  n e h n u t e ľ n o s t í.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Toto všeobecne záväzné nariadenie upravuje podmienky určovania a vyberania dane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z nehnuteľností na území obce Rudnianska Lehota v zdaňovacom období roku 2025.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  P O Z E M K O V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 2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 Základ dane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Správca dane ustanovuje na území obce Rudnianska Lehota hodnotu pozemku, ktorou sa pri výpočte základu dane z pozemkov násobí výmera pozemku v 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a) ornú pôdu, chmeľnice, vinice, ovocné sady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0,2609 €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trvalé trávnaté porasty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0,0235 €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 xml:space="preserve">2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záhrady                       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1,3200 €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zastavané plochy a nádvoria, ostatné plochy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1,3200 € /</w:t>
      </w:r>
      <w:r>
        <w:rPr>
          <w:rFonts w:ascii="Arial" w:eastAsia="Times New Roman" w:hAnsi="Arial" w:cs="Arial"/>
          <w:sz w:val="20"/>
          <w:szCs w:val="20"/>
          <w:lang w:eastAsia="sk-SK"/>
        </w:rPr>
        <w:t>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d) lesné pozemky, na ktorých sú hospodárske lesy, rybníky s chovom rýb a ostatné hospodársky     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využívané vodné plochy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0,1500 €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,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e) stavebné pozemky    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13,2700 €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.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E026F1" w:rsidRDefault="00E026F1" w:rsidP="00E026F1">
      <w:pPr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3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a) zákona o miestnych daniach  okrem pozemkov nachádzajúcich sa v jednotlivej časti  obce uvedenej v § 3 ods. 2 tohto všeobecne záväzného nariadenia, ročnú sadzbu dane z pozemkov: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za ornú pôdu, chmeľnice, vinice, ovocné sady, trvalé trávnaté porasty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0,60  %,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d) zákona o miestnych daniach  , ročnú sadzbu dane z pozemkov za: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lesné pozemky, na ktorých sú hospodárske lesy,  rybníky s chovom rýb a ostatné hospodársky využívané vodné plochy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0,75%,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b) c) a e) zákona o miestnych daniach ročnú sadzbu dane z pozemkov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a) záhrady                                                          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0,93 %,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b) zastavané plochy a nádvoria, ostatné plochy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0,93 %,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c) stavebné pozemky                                         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0,93%.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O   S T A V I E B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4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</w:t>
      </w:r>
    </w:p>
    <w:p w:rsidR="00E026F1" w:rsidRDefault="00E026F1" w:rsidP="00E026F1">
      <w:pPr>
        <w:pStyle w:val="Odsekzoznamu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určuje pre  stavby na  území obce Rudnianska Lehota,  ročnú sadzbu dane zo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stavieb za každý aj začatý m2 zastavanej plochy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a)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stavby na bývanie a drobné stavby, ktoré majú doplnkovú funkciu pre hlavnú stavbu,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stavby na pôdohospodársku produkciu, skleníky, stavby pre vodné hospodárstvo, stavby využívané na skladovanie vlastnej pôdohospodárskej produkcie vrátane stavieb na vlastnú administratívu 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0,335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chaty a stavby  na individuálnu rekreáciu,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0,149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samostatne stojace garáže,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e)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0,149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stavby hromadných garáží,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f)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0,413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 za stavby hromadných garáží umiestnené pod zemou,  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g)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1,244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priemyselné stavby, stavby slúžiace energetike, stavby slúžiace stavebníctvu, stavby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využívané na skladovanie vlastnej produkcie vrátane stavieb na vlastnú administratívu 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h)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1,244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stavby na ostatné podnikanie a na zárobkovú činnosť, skladovanie a administratívu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súvisiacu s ostatným podnikaním a zárobkovou činnosťou 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i)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ostatné stavby  neuvedené v písmenách a) až h).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( 2 ) Správca dane určuje pri viacpodlažných stavbách pre všetky druhy stavieb príplatok za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podlažie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0,056 €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každé ďalšie podlažie okrem prvého nadzemného podlažia .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 B Y T O V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5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Ročná sadzba dane z bytov  je 0,073 € za každý aj začatý m2 podlahovej plochy bytu a nebytového priestoru  v bytovom dome.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6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Oslobodenie od dane a zníženie dane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(1) Správca dane  od dane z pozemkov  oslobodzuje: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a) pozemky, na ktorých sú cintoríny, kolumbária, urnové háje a rozptylové lúky,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(2) Správca dane od dane zo stavieb  oslobodzuje:</w:t>
      </w:r>
    </w:p>
    <w:p w:rsidR="00E026F1" w:rsidRDefault="00E026F1" w:rsidP="00E026F1">
      <w:pPr>
        <w:pStyle w:val="Odsekzoznamu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stavby a byty na bývanie vo vlastníctve fyzických osôb v hmotnej núdzi alebo fyzických osôb  starších  ako 70 rokov, držiteľov preukazu fyzickej osoby s ťažkým zdravotným postihnutím, ako aj prevažne alebo úplne bezvládnych fyzických osôb, ktoré slúžia na ich trvalé bývanie,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veková hranica fyzických osôb na poskytnutie oslobodenia ,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stavieb a bytov od dane  alebo zníženia  daňovej povinnosti  je viac ako  70 rokov.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Daňovník je povinný uplatniť nárok na zníženie dane alebo oslobodenie od dane v priznaní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k dani z nehnuteľností alebo v čiastkovom priznaní na to zdaňovacie obdobie, na ktoré mu prvýkrát vzniká nárok na oslobodenie od dane najneskôr do 31.januára príslušného zdaňovacieho obdobia. Inak nárok na príslušné zdaňovacie obdobie zaniká.</w:t>
      </w:r>
    </w:p>
    <w:p w:rsidR="00E026F1" w:rsidRDefault="00E026F1" w:rsidP="00E026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7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Suma dane</w:t>
      </w:r>
      <w:r>
        <w:rPr>
          <w:rFonts w:ascii="Arial" w:eastAsia="Times New Roman" w:hAnsi="Arial" w:cs="Arial"/>
          <w:lang w:eastAsia="sk-SK"/>
        </w:rPr>
        <w:t xml:space="preserve">, </w:t>
      </w:r>
      <w:r>
        <w:rPr>
          <w:rFonts w:ascii="Arial" w:eastAsia="Times New Roman" w:hAnsi="Arial" w:cs="Arial"/>
          <w:b/>
          <w:lang w:eastAsia="sk-SK"/>
        </w:rPr>
        <w:t xml:space="preserve">ktorú správca dane nevyrubí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daň najviac v úhrne do sumy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5 eur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nebude vyrubovať.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8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 Záverečné ustanovenie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E026F1" w:rsidRDefault="00E026F1" w:rsidP="00E026F1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Dňom účinnosti tohto všeobecne záväzného nariadenia o dani z nehnuteľností sa zrušuje </w:t>
      </w:r>
    </w:p>
    <w:p w:rsidR="00E026F1" w:rsidRDefault="00E026F1" w:rsidP="00E026F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Všeobecne záväzné nariadenie o dani z nehnuteľností platné na rok 2024 č. 02/2023, zo dňa 05.12.2023.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(2) Obecné zastupiteľstvo obce Rudnianska Lehota    sa na tomto všeobecne záväznom nariadení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o dani z nehnuteľností na rok 2025 uznieslo dňa</w:t>
      </w:r>
      <w:r w:rsidR="00EE2BD7">
        <w:rPr>
          <w:rFonts w:ascii="Arial" w:eastAsia="Times New Roman" w:hAnsi="Arial" w:cs="Arial"/>
          <w:sz w:val="20"/>
          <w:szCs w:val="20"/>
          <w:lang w:eastAsia="sk-SK"/>
        </w:rPr>
        <w:t xml:space="preserve"> 13.12.2024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, uznesením </w:t>
      </w:r>
      <w:r w:rsidR="00EE2BD7">
        <w:rPr>
          <w:rFonts w:ascii="Arial" w:eastAsia="Times New Roman" w:hAnsi="Arial" w:cs="Arial"/>
          <w:sz w:val="20"/>
          <w:szCs w:val="20"/>
          <w:lang w:eastAsia="sk-SK"/>
        </w:rPr>
        <w:t xml:space="preserve">číslo106/2024.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9 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Účinnosť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Toto nariadenie nadobúda účinnosť 1. januára 2025</w:t>
      </w:r>
    </w:p>
    <w:p w:rsidR="00E026F1" w:rsidRDefault="00E026F1" w:rsidP="00E026F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E026F1" w:rsidRDefault="00E026F1" w:rsidP="00E026F1">
      <w:r>
        <w:t xml:space="preserve">      </w:t>
      </w:r>
    </w:p>
    <w:p w:rsidR="00E026F1" w:rsidRDefault="00E026F1" w:rsidP="00E026F1"/>
    <w:p w:rsidR="00E026F1" w:rsidRDefault="00E026F1" w:rsidP="00E026F1">
      <w:pPr>
        <w:pStyle w:val="Bezriadkovania"/>
      </w:pPr>
      <w:r>
        <w:t xml:space="preserve">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E026F1" w:rsidRDefault="00E026F1" w:rsidP="00E026F1">
      <w:pPr>
        <w:pStyle w:val="Bezriadkovania"/>
      </w:pPr>
      <w:r>
        <w:t xml:space="preserve">                                                                                                                       starosta obce</w:t>
      </w:r>
    </w:p>
    <w:p w:rsidR="00E026F1" w:rsidRDefault="00E026F1" w:rsidP="00E026F1"/>
    <w:p w:rsidR="00E026F1" w:rsidRDefault="00E026F1" w:rsidP="00E026F1"/>
    <w:p w:rsidR="00E026F1" w:rsidRDefault="00E026F1" w:rsidP="00E026F1"/>
    <w:p w:rsidR="00E026F1" w:rsidRDefault="00E026F1" w:rsidP="00E026F1"/>
    <w:p w:rsidR="00E026F1" w:rsidRDefault="00E026F1" w:rsidP="00E026F1"/>
    <w:p w:rsidR="008B5E2D" w:rsidRDefault="008B5E2D"/>
    <w:sectPr w:rsidR="008B5E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422E1"/>
    <w:multiLevelType w:val="hybridMultilevel"/>
    <w:tmpl w:val="186EB052"/>
    <w:lvl w:ilvl="0" w:tplc="961C2E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D2660"/>
    <w:multiLevelType w:val="hybridMultilevel"/>
    <w:tmpl w:val="5AAE2D18"/>
    <w:lvl w:ilvl="0" w:tplc="DD2C87C0">
      <w:start w:val="1"/>
      <w:numFmt w:val="decimal"/>
      <w:lvlText w:val="%1."/>
      <w:lvlJc w:val="left"/>
      <w:pPr>
        <w:ind w:left="540" w:hanging="360"/>
      </w:pPr>
    </w:lvl>
    <w:lvl w:ilvl="1" w:tplc="041B0019">
      <w:start w:val="1"/>
      <w:numFmt w:val="lowerLetter"/>
      <w:lvlText w:val="%2."/>
      <w:lvlJc w:val="left"/>
      <w:pPr>
        <w:ind w:left="1260" w:hanging="360"/>
      </w:pPr>
    </w:lvl>
    <w:lvl w:ilvl="2" w:tplc="041B001B">
      <w:start w:val="1"/>
      <w:numFmt w:val="lowerRoman"/>
      <w:lvlText w:val="%3."/>
      <w:lvlJc w:val="right"/>
      <w:pPr>
        <w:ind w:left="1980" w:hanging="180"/>
      </w:pPr>
    </w:lvl>
    <w:lvl w:ilvl="3" w:tplc="041B000F">
      <w:start w:val="1"/>
      <w:numFmt w:val="decimal"/>
      <w:lvlText w:val="%4."/>
      <w:lvlJc w:val="left"/>
      <w:pPr>
        <w:ind w:left="2700" w:hanging="360"/>
      </w:pPr>
    </w:lvl>
    <w:lvl w:ilvl="4" w:tplc="041B0019">
      <w:start w:val="1"/>
      <w:numFmt w:val="lowerLetter"/>
      <w:lvlText w:val="%5."/>
      <w:lvlJc w:val="left"/>
      <w:pPr>
        <w:ind w:left="3420" w:hanging="360"/>
      </w:pPr>
    </w:lvl>
    <w:lvl w:ilvl="5" w:tplc="041B001B">
      <w:start w:val="1"/>
      <w:numFmt w:val="lowerRoman"/>
      <w:lvlText w:val="%6."/>
      <w:lvlJc w:val="right"/>
      <w:pPr>
        <w:ind w:left="4140" w:hanging="180"/>
      </w:pPr>
    </w:lvl>
    <w:lvl w:ilvl="6" w:tplc="041B000F">
      <w:start w:val="1"/>
      <w:numFmt w:val="decimal"/>
      <w:lvlText w:val="%7."/>
      <w:lvlJc w:val="left"/>
      <w:pPr>
        <w:ind w:left="4860" w:hanging="360"/>
      </w:pPr>
    </w:lvl>
    <w:lvl w:ilvl="7" w:tplc="041B0019">
      <w:start w:val="1"/>
      <w:numFmt w:val="lowerLetter"/>
      <w:lvlText w:val="%8."/>
      <w:lvlJc w:val="left"/>
      <w:pPr>
        <w:ind w:left="5580" w:hanging="360"/>
      </w:pPr>
    </w:lvl>
    <w:lvl w:ilvl="8" w:tplc="041B001B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261A7F63"/>
    <w:multiLevelType w:val="hybridMultilevel"/>
    <w:tmpl w:val="9D566DF4"/>
    <w:lvl w:ilvl="0" w:tplc="AB1A92B4">
      <w:start w:val="1"/>
      <w:numFmt w:val="decimal"/>
      <w:lvlText w:val="%1)"/>
      <w:lvlJc w:val="left"/>
      <w:pPr>
        <w:ind w:left="660" w:hanging="360"/>
      </w:pPr>
    </w:lvl>
    <w:lvl w:ilvl="1" w:tplc="041B0019">
      <w:start w:val="1"/>
      <w:numFmt w:val="lowerLetter"/>
      <w:lvlText w:val="%2."/>
      <w:lvlJc w:val="left"/>
      <w:pPr>
        <w:ind w:left="1380" w:hanging="360"/>
      </w:pPr>
    </w:lvl>
    <w:lvl w:ilvl="2" w:tplc="041B001B">
      <w:start w:val="1"/>
      <w:numFmt w:val="lowerRoman"/>
      <w:lvlText w:val="%3."/>
      <w:lvlJc w:val="right"/>
      <w:pPr>
        <w:ind w:left="2100" w:hanging="180"/>
      </w:pPr>
    </w:lvl>
    <w:lvl w:ilvl="3" w:tplc="041B000F">
      <w:start w:val="1"/>
      <w:numFmt w:val="decimal"/>
      <w:lvlText w:val="%4."/>
      <w:lvlJc w:val="left"/>
      <w:pPr>
        <w:ind w:left="2820" w:hanging="360"/>
      </w:pPr>
    </w:lvl>
    <w:lvl w:ilvl="4" w:tplc="041B0019">
      <w:start w:val="1"/>
      <w:numFmt w:val="lowerLetter"/>
      <w:lvlText w:val="%5."/>
      <w:lvlJc w:val="left"/>
      <w:pPr>
        <w:ind w:left="3540" w:hanging="360"/>
      </w:pPr>
    </w:lvl>
    <w:lvl w:ilvl="5" w:tplc="041B001B">
      <w:start w:val="1"/>
      <w:numFmt w:val="lowerRoman"/>
      <w:lvlText w:val="%6."/>
      <w:lvlJc w:val="right"/>
      <w:pPr>
        <w:ind w:left="4260" w:hanging="180"/>
      </w:pPr>
    </w:lvl>
    <w:lvl w:ilvl="6" w:tplc="041B000F">
      <w:start w:val="1"/>
      <w:numFmt w:val="decimal"/>
      <w:lvlText w:val="%7."/>
      <w:lvlJc w:val="left"/>
      <w:pPr>
        <w:ind w:left="4980" w:hanging="360"/>
      </w:pPr>
    </w:lvl>
    <w:lvl w:ilvl="7" w:tplc="041B0019">
      <w:start w:val="1"/>
      <w:numFmt w:val="lowerLetter"/>
      <w:lvlText w:val="%8."/>
      <w:lvlJc w:val="left"/>
      <w:pPr>
        <w:ind w:left="5700" w:hanging="360"/>
      </w:pPr>
    </w:lvl>
    <w:lvl w:ilvl="8" w:tplc="041B001B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4E886CC9"/>
    <w:multiLevelType w:val="hybridMultilevel"/>
    <w:tmpl w:val="D34495EE"/>
    <w:lvl w:ilvl="0" w:tplc="0C429000">
      <w:start w:val="1"/>
      <w:numFmt w:val="decimal"/>
      <w:lvlText w:val="(%1)"/>
      <w:lvlJc w:val="left"/>
      <w:pPr>
        <w:ind w:left="690" w:hanging="360"/>
      </w:pPr>
    </w:lvl>
    <w:lvl w:ilvl="1" w:tplc="041B0019">
      <w:start w:val="1"/>
      <w:numFmt w:val="lowerLetter"/>
      <w:lvlText w:val="%2."/>
      <w:lvlJc w:val="left"/>
      <w:pPr>
        <w:ind w:left="1410" w:hanging="360"/>
      </w:pPr>
    </w:lvl>
    <w:lvl w:ilvl="2" w:tplc="041B001B">
      <w:start w:val="1"/>
      <w:numFmt w:val="lowerRoman"/>
      <w:lvlText w:val="%3."/>
      <w:lvlJc w:val="right"/>
      <w:pPr>
        <w:ind w:left="2130" w:hanging="180"/>
      </w:pPr>
    </w:lvl>
    <w:lvl w:ilvl="3" w:tplc="041B000F">
      <w:start w:val="1"/>
      <w:numFmt w:val="decimal"/>
      <w:lvlText w:val="%4."/>
      <w:lvlJc w:val="left"/>
      <w:pPr>
        <w:ind w:left="2850" w:hanging="360"/>
      </w:pPr>
    </w:lvl>
    <w:lvl w:ilvl="4" w:tplc="041B0019">
      <w:start w:val="1"/>
      <w:numFmt w:val="lowerLetter"/>
      <w:lvlText w:val="%5."/>
      <w:lvlJc w:val="left"/>
      <w:pPr>
        <w:ind w:left="3570" w:hanging="360"/>
      </w:pPr>
    </w:lvl>
    <w:lvl w:ilvl="5" w:tplc="041B001B">
      <w:start w:val="1"/>
      <w:numFmt w:val="lowerRoman"/>
      <w:lvlText w:val="%6."/>
      <w:lvlJc w:val="right"/>
      <w:pPr>
        <w:ind w:left="4290" w:hanging="180"/>
      </w:pPr>
    </w:lvl>
    <w:lvl w:ilvl="6" w:tplc="041B000F">
      <w:start w:val="1"/>
      <w:numFmt w:val="decimal"/>
      <w:lvlText w:val="%7."/>
      <w:lvlJc w:val="left"/>
      <w:pPr>
        <w:ind w:left="5010" w:hanging="360"/>
      </w:pPr>
    </w:lvl>
    <w:lvl w:ilvl="7" w:tplc="041B0019">
      <w:start w:val="1"/>
      <w:numFmt w:val="lowerLetter"/>
      <w:lvlText w:val="%8."/>
      <w:lvlJc w:val="left"/>
      <w:pPr>
        <w:ind w:left="5730" w:hanging="360"/>
      </w:pPr>
    </w:lvl>
    <w:lvl w:ilvl="8" w:tplc="041B001B">
      <w:start w:val="1"/>
      <w:numFmt w:val="lowerRoman"/>
      <w:lvlText w:val="%9."/>
      <w:lvlJc w:val="right"/>
      <w:pPr>
        <w:ind w:left="6450" w:hanging="180"/>
      </w:pPr>
    </w:lvl>
  </w:abstractNum>
  <w:abstractNum w:abstractNumId="4" w15:restartNumberingAfterBreak="0">
    <w:nsid w:val="66325C51"/>
    <w:multiLevelType w:val="hybridMultilevel"/>
    <w:tmpl w:val="18A833DA"/>
    <w:lvl w:ilvl="0" w:tplc="041B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1609F"/>
    <w:multiLevelType w:val="hybridMultilevel"/>
    <w:tmpl w:val="459E309C"/>
    <w:lvl w:ilvl="0" w:tplc="085C049C">
      <w:start w:val="1"/>
      <w:numFmt w:val="decimal"/>
      <w:lvlText w:val="(%1)"/>
      <w:lvlJc w:val="left"/>
      <w:pPr>
        <w:ind w:left="660" w:hanging="360"/>
      </w:pPr>
    </w:lvl>
    <w:lvl w:ilvl="1" w:tplc="041B0019">
      <w:start w:val="1"/>
      <w:numFmt w:val="lowerLetter"/>
      <w:lvlText w:val="%2."/>
      <w:lvlJc w:val="left"/>
      <w:pPr>
        <w:ind w:left="1380" w:hanging="360"/>
      </w:pPr>
    </w:lvl>
    <w:lvl w:ilvl="2" w:tplc="041B001B">
      <w:start w:val="1"/>
      <w:numFmt w:val="lowerRoman"/>
      <w:lvlText w:val="%3."/>
      <w:lvlJc w:val="right"/>
      <w:pPr>
        <w:ind w:left="2100" w:hanging="180"/>
      </w:pPr>
    </w:lvl>
    <w:lvl w:ilvl="3" w:tplc="041B000F">
      <w:start w:val="1"/>
      <w:numFmt w:val="decimal"/>
      <w:lvlText w:val="%4."/>
      <w:lvlJc w:val="left"/>
      <w:pPr>
        <w:ind w:left="2820" w:hanging="360"/>
      </w:pPr>
    </w:lvl>
    <w:lvl w:ilvl="4" w:tplc="041B0019">
      <w:start w:val="1"/>
      <w:numFmt w:val="lowerLetter"/>
      <w:lvlText w:val="%5."/>
      <w:lvlJc w:val="left"/>
      <w:pPr>
        <w:ind w:left="3540" w:hanging="360"/>
      </w:pPr>
    </w:lvl>
    <w:lvl w:ilvl="5" w:tplc="041B001B">
      <w:start w:val="1"/>
      <w:numFmt w:val="lowerRoman"/>
      <w:lvlText w:val="%6."/>
      <w:lvlJc w:val="right"/>
      <w:pPr>
        <w:ind w:left="4260" w:hanging="180"/>
      </w:pPr>
    </w:lvl>
    <w:lvl w:ilvl="6" w:tplc="041B000F">
      <w:start w:val="1"/>
      <w:numFmt w:val="decimal"/>
      <w:lvlText w:val="%7."/>
      <w:lvlJc w:val="left"/>
      <w:pPr>
        <w:ind w:left="4980" w:hanging="360"/>
      </w:pPr>
    </w:lvl>
    <w:lvl w:ilvl="7" w:tplc="041B0019">
      <w:start w:val="1"/>
      <w:numFmt w:val="lowerLetter"/>
      <w:lvlText w:val="%8."/>
      <w:lvlJc w:val="left"/>
      <w:pPr>
        <w:ind w:left="5700" w:hanging="360"/>
      </w:pPr>
    </w:lvl>
    <w:lvl w:ilvl="8" w:tplc="041B001B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7B3B6632"/>
    <w:multiLevelType w:val="hybridMultilevel"/>
    <w:tmpl w:val="13B2EC6C"/>
    <w:lvl w:ilvl="0" w:tplc="CABC10CE">
      <w:start w:val="1"/>
      <w:numFmt w:val="decimal"/>
      <w:lvlText w:val="(%1)"/>
      <w:lvlJc w:val="left"/>
      <w:pPr>
        <w:ind w:left="540" w:hanging="360"/>
      </w:pPr>
    </w:lvl>
    <w:lvl w:ilvl="1" w:tplc="041B0019">
      <w:start w:val="1"/>
      <w:numFmt w:val="lowerLetter"/>
      <w:lvlText w:val="%2."/>
      <w:lvlJc w:val="left"/>
      <w:pPr>
        <w:ind w:left="1260" w:hanging="360"/>
      </w:pPr>
    </w:lvl>
    <w:lvl w:ilvl="2" w:tplc="041B001B">
      <w:start w:val="1"/>
      <w:numFmt w:val="lowerRoman"/>
      <w:lvlText w:val="%3."/>
      <w:lvlJc w:val="right"/>
      <w:pPr>
        <w:ind w:left="1980" w:hanging="180"/>
      </w:pPr>
    </w:lvl>
    <w:lvl w:ilvl="3" w:tplc="041B000F">
      <w:start w:val="1"/>
      <w:numFmt w:val="decimal"/>
      <w:lvlText w:val="%4."/>
      <w:lvlJc w:val="left"/>
      <w:pPr>
        <w:ind w:left="2700" w:hanging="360"/>
      </w:pPr>
    </w:lvl>
    <w:lvl w:ilvl="4" w:tplc="041B0019">
      <w:start w:val="1"/>
      <w:numFmt w:val="lowerLetter"/>
      <w:lvlText w:val="%5."/>
      <w:lvlJc w:val="left"/>
      <w:pPr>
        <w:ind w:left="3420" w:hanging="360"/>
      </w:pPr>
    </w:lvl>
    <w:lvl w:ilvl="5" w:tplc="041B001B">
      <w:start w:val="1"/>
      <w:numFmt w:val="lowerRoman"/>
      <w:lvlText w:val="%6."/>
      <w:lvlJc w:val="right"/>
      <w:pPr>
        <w:ind w:left="4140" w:hanging="180"/>
      </w:pPr>
    </w:lvl>
    <w:lvl w:ilvl="6" w:tplc="041B000F">
      <w:start w:val="1"/>
      <w:numFmt w:val="decimal"/>
      <w:lvlText w:val="%7."/>
      <w:lvlJc w:val="left"/>
      <w:pPr>
        <w:ind w:left="4860" w:hanging="360"/>
      </w:pPr>
    </w:lvl>
    <w:lvl w:ilvl="7" w:tplc="041B0019">
      <w:start w:val="1"/>
      <w:numFmt w:val="lowerLetter"/>
      <w:lvlText w:val="%8."/>
      <w:lvlJc w:val="left"/>
      <w:pPr>
        <w:ind w:left="5580" w:hanging="360"/>
      </w:pPr>
    </w:lvl>
    <w:lvl w:ilvl="8" w:tplc="041B001B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F1"/>
    <w:rsid w:val="008B5E2D"/>
    <w:rsid w:val="00AE2391"/>
    <w:rsid w:val="00E026F1"/>
    <w:rsid w:val="00EE2BD7"/>
    <w:rsid w:val="00FB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5E30A"/>
  <w15:chartTrackingRefBased/>
  <w15:docId w15:val="{167031E1-5045-4B4B-BC37-BC16F0F4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026F1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026F1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E026F1"/>
    <w:pPr>
      <w:ind w:left="720"/>
      <w:contextualSpacing/>
    </w:pPr>
  </w:style>
  <w:style w:type="character" w:customStyle="1" w:styleId="markedcontent">
    <w:name w:val="markedcontent"/>
    <w:basedOn w:val="Predvolenpsmoodseku"/>
    <w:rsid w:val="00E026F1"/>
  </w:style>
  <w:style w:type="table" w:styleId="Mriekatabuky">
    <w:name w:val="Table Grid"/>
    <w:basedOn w:val="Normlnatabuka"/>
    <w:uiPriority w:val="59"/>
    <w:rsid w:val="00E026F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5</cp:revision>
  <dcterms:created xsi:type="dcterms:W3CDTF">2024-12-16T07:07:00Z</dcterms:created>
  <dcterms:modified xsi:type="dcterms:W3CDTF">2024-12-16T07:52:00Z</dcterms:modified>
</cp:coreProperties>
</file>